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000"/>
      </w:pPr>
    </w:p>
    <w:p>
      <w:pPr>
        <w:jc w:val="center"/>
      </w:pPr>
      <w:r>
        <w:rPr>
          <w:rFonts w:ascii="Arial" w:cs="Arial" w:eastAsia="Arial" w:hAnsi="Arial"/>
          <w:b/>
          <w:bCs/>
          <w:color w:val="1e3a8a"/>
          <w:sz w:val="96"/>
          <w:szCs w:val="96"/>
        </w:rPr>
        <w:t xml:space="preserve">INFINITE</w:t>
      </w:r>
    </w:p>
    <w:p>
      <w:pPr>
        <w:jc w:val="center"/>
      </w:pPr>
      <w:r>
        <w:rPr>
          <w:rFonts w:ascii="Arial" w:cs="Arial" w:eastAsia="Arial" w:hAnsi="Arial"/>
          <w:b/>
          <w:bCs/>
          <w:color w:val="1e3a8a"/>
          <w:sz w:val="96"/>
          <w:szCs w:val="96"/>
        </w:rPr>
        <w:t xml:space="preserve">ACCOUNTABLE</w:t>
      </w:r>
    </w:p>
    <w:p>
      <w:pPr>
        <w:jc w:val="center"/>
      </w:pPr>
      <w:r>
        <w:rPr>
          <w:rFonts w:ascii="Arial" w:cs="Arial" w:eastAsia="Arial" w:hAnsi="Arial"/>
          <w:b/>
          <w:bCs/>
          <w:color w:val="1e3a8a"/>
          <w:sz w:val="96"/>
          <w:szCs w:val="96"/>
        </w:rPr>
        <w:t xml:space="preserve">PROSPERITY</w:t>
      </w:r>
    </w:p>
    <w:p>
      <w:pPr>
        <w:spacing w:before="600"/>
        <w:jc w:val="center"/>
      </w:pPr>
      <w:r>
        <w:rPr>
          <w:rFonts w:ascii="Arial" w:cs="Arial" w:eastAsia="Arial" w:hAnsi="Arial"/>
          <w:color w:val="3b82f6"/>
          <w:sz w:val="48"/>
          <w:szCs w:val="48"/>
        </w:rPr>
        <w:t xml:space="preserve">Discussion Documents</w:t>
      </w:r>
    </w:p>
    <w:p>
      <w:pPr>
        <w:spacing w:before="400"/>
        <w:jc w:val="center"/>
      </w:pPr>
      <w:r>
        <w:rPr>
          <w:rFonts w:ascii="Arial" w:cs="Arial" w:eastAsia="Arial" w:hAnsi="Arial"/>
          <w:i/>
          <w:iCs/>
          <w:color w:val="666666"/>
          <w:sz w:val="32"/>
          <w:szCs w:val="32"/>
        </w:rPr>
        <w:t xml:space="preserve">A Framework for Economic Reform</w:t>
      </w:r>
    </w:p>
    <w:p>
      <w:pPr>
        <w:spacing w:before="1500"/>
        <w:jc w:val="center"/>
      </w:pPr>
      <w:r>
        <w:rPr>
          <w:rFonts w:ascii="Arial" w:cs="Arial" w:eastAsia="Arial" w:hAnsi="Arial"/>
          <w:b/>
          <w:bCs/>
          <w:color w:val="dc2626"/>
          <w:sz w:val="28"/>
          <w:szCs w:val="28"/>
        </w:rPr>
        <w:t xml:space="preserve">FOR EXPERT REVIEW AND CRITIQUE</w:t>
      </w:r>
    </w:p>
    <w:p>
      <w:pPr>
        <w:spacing w:before="200"/>
        <w:jc w:val="center"/>
      </w:pPr>
      <w:r>
        <w:rPr>
          <w:rFonts w:ascii="Arial" w:cs="Arial" w:eastAsia="Arial" w:hAnsi="Arial"/>
          <w:color w:val="666666"/>
          <w:sz w:val="24"/>
          <w:szCs w:val="24"/>
        </w:rPr>
        <w:t xml:space="preserve">Draft Version — November 2024</w:t>
      </w:r>
    </w:p>
    <w:p>
      <w:r>
        <w:br w:type="page"/>
      </w:r>
    </w:p>
    <w:p>
      <w:pPr>
        <w:pStyle w:val="Heading1"/>
      </w:pPr>
      <w:r>
        <w:t xml:space="preserve">Table of Contents</w:t>
      </w:r>
    </w:p>
    <w:p>
      <w:pPr>
        <w:spacing w:after="400"/>
      </w:pPr>
    </w:p>
    <w:p>
      <w:pPr>
        <w:pStyle w:val="Heading2"/>
      </w:pPr>
      <w:r>
        <w:t xml:space="preserve">I. Core AIP Mechanics</w:t>
      </w:r>
    </w:p>
    <w:p>
      <w:pPr>
        <w:spacing w:after="100"/>
      </w:pPr>
      <w:r>
        <w:rPr>
          <w:b/>
          <w:bCs/>
        </w:rPr>
        <w:t xml:space="preserve">1. </w:t>
      </w:r>
      <w:r>
        <w:t xml:space="preserve">The Gross Revenue Tax — </w:t>
      </w:r>
      <w:r>
        <w:rPr>
          <w:i/>
          <w:iCs/>
          <w:color w:val="666666"/>
        </w:rPr>
        <w:t xml:space="preserve">Mechanics, objections, and why it works</w:t>
      </w:r>
    </w:p>
    <w:p>
      <w:pPr>
        <w:spacing w:after="100"/>
      </w:pPr>
      <w:r>
        <w:rPr>
          <w:b/>
          <w:bCs/>
        </w:rPr>
        <w:t xml:space="preserve">2. </w:t>
      </w:r>
      <w:r>
        <w:t xml:space="preserve">Stability Accounts — </w:t>
      </w:r>
      <w:r>
        <w:rPr>
          <w:i/>
          <w:iCs/>
          <w:color w:val="666666"/>
        </w:rPr>
        <w:t xml:space="preserve">Investment strategy, withdrawals, and protections</w:t>
      </w:r>
    </w:p>
    <w:p>
      <w:pPr>
        <w:spacing w:after="100"/>
      </w:pPr>
      <w:r>
        <w:rPr>
          <w:b/>
          <w:bCs/>
        </w:rPr>
        <w:t xml:space="preserve">3. </w:t>
      </w:r>
      <w:r>
        <w:t xml:space="preserve">The Transition — </w:t>
      </w:r>
      <w:r>
        <w:rPr>
          <w:i/>
          <w:iCs/>
          <w:color w:val="666666"/>
        </w:rPr>
        <w:t xml:space="preserve">How we get from here to there</w:t>
      </w:r>
    </w:p>
    <w:p>
      <w:pPr>
        <w:spacing w:after="300"/>
      </w:pPr>
      <w:r>
        <w:rPr>
          <w:b/>
          <w:bCs/>
        </w:rPr>
        <w:t xml:space="preserve">4. </w:t>
      </w:r>
      <w:r>
        <w:t xml:space="preserve">Alliance Governance — </w:t>
      </w:r>
      <w:r>
        <w:rPr>
          <w:i/>
          <w:iCs/>
          <w:color w:val="666666"/>
        </w:rPr>
        <w:t xml:space="preserve">Structure, membership, and enforcement</w:t>
      </w:r>
    </w:p>
    <w:p>
      <w:pPr>
        <w:pStyle w:val="Heading2"/>
      </w:pPr>
      <w:r>
        <w:t xml:space="preserve">II. Crisis Analysis</w:t>
      </w:r>
    </w:p>
    <w:p>
      <w:pPr>
        <w:spacing w:after="100"/>
      </w:pPr>
      <w:r>
        <w:rPr>
          <w:b/>
          <w:bCs/>
        </w:rPr>
        <w:t xml:space="preserve">5. </w:t>
      </w:r>
      <w:r>
        <w:t xml:space="preserve">Two Paths — </w:t>
      </w:r>
      <w:r>
        <w:rPr>
          <w:i/>
          <w:iCs/>
          <w:color w:val="666666"/>
        </w:rPr>
        <w:t xml:space="preserve">Current trajectory vs. AIP (including AI displacement)</w:t>
      </w:r>
    </w:p>
    <w:p>
      <w:pPr>
        <w:spacing w:after="100"/>
      </w:pPr>
      <w:r>
        <w:rPr>
          <w:b/>
          <w:bCs/>
        </w:rPr>
        <w:t xml:space="preserve">6. </w:t>
      </w:r>
      <w:r>
        <w:t xml:space="preserve">Winners and Losers — </w:t>
      </w:r>
      <w:r>
        <w:rPr>
          <w:i/>
          <w:iCs/>
          <w:color w:val="666666"/>
        </w:rPr>
        <w:t xml:space="preserve">Who benefits, who pays, and the electoral math</w:t>
      </w:r>
    </w:p>
    <w:p>
      <w:pPr>
        <w:spacing w:after="300"/>
      </w:pPr>
      <w:r>
        <w:rPr>
          <w:b/>
          <w:bCs/>
        </w:rPr>
        <w:t xml:space="preserve">7. </w:t>
      </w:r>
      <w:r>
        <w:t xml:space="preserve">Healthcare for Profit — </w:t>
      </w:r>
      <w:r>
        <w:rPr>
          <w:i/>
          <w:iCs/>
          <w:color w:val="666666"/>
        </w:rPr>
        <w:t xml:space="preserve">Perverse incentives in profit-driven healthcare</w:t>
      </w:r>
    </w:p>
    <w:p>
      <w:pPr>
        <w:pStyle w:val="Heading2"/>
      </w:pPr>
      <w:r>
        <w:t xml:space="preserve">III. Systemic Critiques</w:t>
      </w:r>
    </w:p>
    <w:p>
      <w:pPr>
        <w:spacing w:after="100"/>
      </w:pPr>
      <w:r>
        <w:rPr>
          <w:b/>
          <w:bCs/>
        </w:rPr>
        <w:t xml:space="preserve">8. </w:t>
      </w:r>
      <w:r>
        <w:t xml:space="preserve">Accountability Economics — </w:t>
      </w:r>
      <w:r>
        <w:rPr>
          <w:i/>
          <w:iCs/>
          <w:color w:val="666666"/>
        </w:rPr>
        <w:t xml:space="preserve">Why AIP is neither socialism nor crony capitalism</w:t>
      </w:r>
    </w:p>
    <w:p>
      <w:pPr>
        <w:spacing w:after="100"/>
      </w:pPr>
      <w:r>
        <w:rPr>
          <w:b/>
          <w:bCs/>
        </w:rPr>
        <w:t xml:space="preserve">9. </w:t>
      </w:r>
      <w:r>
        <w:t xml:space="preserve">Legalized Corruption — </w:t>
      </w:r>
      <w:r>
        <w:rPr>
          <w:i/>
          <w:iCs/>
          <w:color w:val="666666"/>
        </w:rPr>
        <w:t xml:space="preserve">How political fundraising compromises everyone</w:t>
      </w:r>
    </w:p>
    <w:p>
      <w:pPr>
        <w:spacing w:after="100"/>
      </w:pPr>
      <w:r>
        <w:rPr>
          <w:b/>
          <w:bCs/>
        </w:rPr>
        <w:t xml:space="preserve">10. </w:t>
      </w:r>
      <w:r>
        <w:t xml:space="preserve">Military Spending Spiral — </w:t>
      </w:r>
      <w:r>
        <w:rPr>
          <w:i/>
          <w:iCs/>
          <w:color w:val="666666"/>
        </w:rPr>
        <w:t xml:space="preserve">How US dominance drives global arms race</w:t>
      </w:r>
    </w:p>
    <w:p>
      <w:pPr>
        <w:spacing w:after="100"/>
      </w:pPr>
      <w:r>
        <w:rPr>
          <w:b/>
          <w:bCs/>
        </w:rPr>
        <w:t xml:space="preserve">11. </w:t>
      </w:r>
      <w:r>
        <w:t xml:space="preserve">Outsourced Abuse — </w:t>
      </w:r>
      <w:r>
        <w:rPr>
          <w:i/>
          <w:iCs/>
          <w:color w:val="666666"/>
        </w:rPr>
        <w:t xml:space="preserve">Trade with human rights abusers as economic rendition</w:t>
      </w:r>
    </w:p>
    <w:p>
      <w:pPr>
        <w:spacing w:after="100"/>
      </w:pPr>
      <w:r>
        <w:rPr>
          <w:b/>
          <w:bCs/>
        </w:rPr>
        <w:t xml:space="preserve">12. </w:t>
      </w:r>
      <w:r>
        <w:t xml:space="preserve">Extraction Economics — </w:t>
      </w:r>
      <w:r>
        <w:rPr>
          <w:i/>
          <w:iCs/>
          <w:color w:val="666666"/>
        </w:rPr>
        <w:t xml:space="preserve">Historical patterns of wealth extraction</w:t>
      </w:r>
    </w:p>
    <w:p>
      <w:pPr>
        <w:spacing w:after="100"/>
      </w:pPr>
      <w:r>
        <w:rPr>
          <w:b/>
          <w:bCs/>
        </w:rPr>
        <w:t xml:space="preserve">13. </w:t>
      </w:r>
      <w:r>
        <w:t xml:space="preserve">Plutocracy &amp; Accountability — </w:t>
      </w:r>
      <w:r>
        <w:rPr>
          <w:i/>
          <w:iCs/>
          <w:color w:val="666666"/>
        </w:rPr>
        <w:t xml:space="preserve">Consumer accountability vs. regulatory capture</w:t>
      </w:r>
    </w:p>
    <w:p>
      <w:pPr>
        <w:spacing w:after="300"/>
      </w:pPr>
      <w:r>
        <w:rPr>
          <w:b/>
          <w:bCs/>
        </w:rPr>
        <w:t xml:space="preserve">14. </w:t>
      </w:r>
      <w:r>
        <w:t xml:space="preserve">Root Cause Solutions — </w:t>
      </w:r>
      <w:r>
        <w:rPr>
          <w:i/>
          <w:iCs/>
          <w:color w:val="666666"/>
        </w:rPr>
        <w:t xml:space="preserve">Why band-aids don't work</w:t>
      </w:r>
    </w:p>
    <w:p>
      <w:pPr>
        <w:pStyle w:val="Heading2"/>
      </w:pPr>
      <w:r>
        <w:t xml:space="preserve">IV. Policy Applications</w:t>
      </w:r>
    </w:p>
    <w:p>
      <w:pPr>
        <w:spacing w:after="100"/>
      </w:pPr>
      <w:r>
        <w:rPr>
          <w:b/>
          <w:bCs/>
        </w:rPr>
        <w:t xml:space="preserve">15. </w:t>
      </w:r>
      <w:r>
        <w:t xml:space="preserve">Climate &amp; Environment — </w:t>
      </w:r>
      <w:r>
        <w:rPr>
          <w:i/>
          <w:iCs/>
          <w:color w:val="666666"/>
        </w:rPr>
        <w:t xml:space="preserve">How AIP addresses the climate crisis</w:t>
      </w:r>
    </w:p>
    <w:p>
      <w:pPr>
        <w:spacing w:after="100"/>
      </w:pPr>
      <w:r>
        <w:rPr>
          <w:b/>
          <w:bCs/>
        </w:rPr>
        <w:t xml:space="preserve">16. </w:t>
      </w:r>
      <w:r>
        <w:t xml:space="preserve">Immigration Root Causes — </w:t>
      </w:r>
      <w:r>
        <w:rPr>
          <w:i/>
          <w:iCs/>
          <w:color w:val="666666"/>
        </w:rPr>
        <w:t xml:space="preserve">Development over enforcement</w:t>
      </w:r>
    </w:p>
    <w:p>
      <w:pPr>
        <w:spacing w:after="100"/>
      </w:pPr>
      <w:r>
        <w:rPr>
          <w:b/>
          <w:bCs/>
        </w:rPr>
        <w:t xml:space="preserve">17. </w:t>
      </w:r>
      <w:r>
        <w:t xml:space="preserve">Student Debt Crisis — </w:t>
      </w:r>
      <w:r>
        <w:rPr>
          <w:i/>
          <w:iCs/>
          <w:color w:val="666666"/>
        </w:rPr>
        <w:t xml:space="preserve">How education became debt slavery</w:t>
      </w:r>
    </w:p>
    <w:p>
      <w:pPr>
        <w:spacing w:after="100"/>
      </w:pPr>
      <w:r>
        <w:rPr>
          <w:b/>
          <w:bCs/>
        </w:rPr>
        <w:t xml:space="preserve">18. </w:t>
      </w:r>
      <w:r>
        <w:t xml:space="preserve">Generational Wealth Gap — </w:t>
      </w:r>
      <w:r>
        <w:rPr>
          <w:i/>
          <w:iCs/>
          <w:color w:val="666666"/>
        </w:rPr>
        <w:t xml:space="preserve">Boomers vs. Millennials and the path forward</w:t>
      </w:r>
    </w:p>
    <w:p>
      <w:pPr>
        <w:spacing w:after="100"/>
      </w:pPr>
      <w:r>
        <w:rPr>
          <w:b/>
          <w:bCs/>
        </w:rPr>
        <w:t xml:space="preserve">19. </w:t>
      </w:r>
      <w:r>
        <w:t xml:space="preserve">Rural America — </w:t>
      </w:r>
      <w:r>
        <w:rPr>
          <w:i/>
          <w:iCs/>
          <w:color w:val="666666"/>
        </w:rPr>
        <w:t xml:space="preserve">Reversing the hollowing out</w:t>
      </w:r>
    </w:p>
    <w:p>
      <w:pPr>
        <w:spacing w:after="100"/>
      </w:pPr>
      <w:r>
        <w:rPr>
          <w:b/>
          <w:bCs/>
        </w:rPr>
        <w:t xml:space="preserve">20. </w:t>
      </w:r>
      <w:r>
        <w:t xml:space="preserve">Family Formation Crisis — </w:t>
      </w:r>
      <w:r>
        <w:rPr>
          <w:i/>
          <w:iCs/>
          <w:color w:val="666666"/>
        </w:rPr>
        <w:t xml:space="preserve">Why young Americans can't start families</w:t>
      </w:r>
    </w:p>
    <w:p>
      <w:pPr>
        <w:spacing w:after="100"/>
      </w:pPr>
      <w:r>
        <w:rPr>
          <w:b/>
          <w:bCs/>
        </w:rPr>
        <w:t xml:space="preserve">21. </w:t>
      </w:r>
      <w:r>
        <w:t xml:space="preserve">Criminal Justice Economics — </w:t>
      </w:r>
      <w:r>
        <w:rPr>
          <w:i/>
          <w:iCs/>
          <w:color w:val="666666"/>
        </w:rPr>
        <w:t xml:space="preserve">Prevention over punishment</w:t>
      </w:r>
    </w:p>
    <w:p>
      <w:pPr>
        <w:spacing w:after="100"/>
      </w:pPr>
      <w:r>
        <w:rPr>
          <w:b/>
          <w:bCs/>
        </w:rPr>
        <w:t xml:space="preserve">22. </w:t>
      </w:r>
      <w:r>
        <w:t xml:space="preserve">Housing Affordability — </w:t>
      </w:r>
      <w:r>
        <w:rPr>
          <w:i/>
          <w:iCs/>
          <w:color w:val="666666"/>
        </w:rPr>
        <w:t xml:space="preserve">Why no one can afford to live anywhere</w:t>
      </w:r>
    </w:p>
    <w:p>
      <w:pPr>
        <w:spacing w:after="100"/>
      </w:pPr>
      <w:r>
        <w:rPr>
          <w:b/>
          <w:bCs/>
        </w:rPr>
        <w:t xml:space="preserve">23. </w:t>
      </w:r>
      <w:r>
        <w:t xml:space="preserve">Food Security &amp; Agriculture — </w:t>
      </w:r>
      <w:r>
        <w:rPr>
          <w:i/>
          <w:iCs/>
          <w:color w:val="666666"/>
        </w:rPr>
        <w:t xml:space="preserve">Alliance agricultural strategy</w:t>
      </w:r>
    </w:p>
    <w:p>
      <w:pPr>
        <w:spacing w:after="300"/>
      </w:pPr>
      <w:r>
        <w:rPr>
          <w:b/>
          <w:bCs/>
        </w:rPr>
        <w:t xml:space="preserve">24. </w:t>
      </w:r>
      <w:r>
        <w:t xml:space="preserve">Social Investment ROI — </w:t>
      </w:r>
      <w:r>
        <w:rPr>
          <w:i/>
          <w:iCs/>
          <w:color w:val="666666"/>
        </w:rPr>
        <w:t xml:space="preserve">The returns on human capital investment</w:t>
      </w:r>
    </w:p>
    <w:p>
      <w:pPr>
        <w:pStyle w:val="Heading2"/>
      </w:pPr>
      <w:r>
        <w:t xml:space="preserve">V. Strategic Considerations</w:t>
      </w:r>
    </w:p>
    <w:p>
      <w:pPr>
        <w:spacing w:after="100"/>
      </w:pPr>
      <w:r>
        <w:rPr>
          <w:b/>
          <w:bCs/>
        </w:rPr>
        <w:t xml:space="preserve">25. </w:t>
      </w:r>
      <w:r>
        <w:t xml:space="preserve">Media Consolidation — </w:t>
      </w:r>
      <w:r>
        <w:rPr>
          <w:i/>
          <w:iCs/>
          <w:color w:val="666666"/>
        </w:rPr>
        <w:t xml:space="preserve">How information monopolies prevent change</w:t>
      </w:r>
    </w:p>
    <w:p>
      <w:pPr>
        <w:spacing w:after="300"/>
      </w:pPr>
      <w:r>
        <w:rPr>
          <w:b/>
          <w:bCs/>
        </w:rPr>
        <w:t xml:space="preserve">26. </w:t>
      </w:r>
      <w:r>
        <w:t xml:space="preserve">International Response — </w:t>
      </w:r>
      <w:r>
        <w:rPr>
          <w:i/>
          <w:iCs/>
          <w:color w:val="666666"/>
        </w:rPr>
        <w:t xml:space="preserve">How the world reacts to AIP</w:t>
      </w:r>
    </w:p>
    <w:p>
      <w:r>
        <w:br w:type="page"/>
      </w:r>
    </w:p>
    <w:p>
      <w:pPr>
        <w:pStyle w:val="Heading1"/>
      </w:pPr>
      <w:r>
        <w:t xml:space="preserve">Introduction</w:t>
      </w:r>
    </w:p>
    <w:p>
      <w:pPr>
        <w:spacing w:after="200"/>
      </w:pPr>
      <w:r>
        <w:t xml:space="preserve">These documents comprise the supporting discussion materials for the Infinite Accountable Prosperity (IAP) framework. They are designed to articulate the philosophical foundations, policy mechanics, and strategic considerations underlying the framework.</w:t>
      </w:r>
    </w:p>
    <w:p>
      <w:pPr>
        <w:pStyle w:val="Heading2"/>
      </w:pPr>
      <w:r>
        <w:t xml:space="preserve">Purpose</w:t>
      </w:r>
    </w:p>
    <w:p>
      <w:pPr>
        <w:spacing w:after="200"/>
      </w:pPr>
      <w:r>
        <w:t xml:space="preserve">These are </w:t>
      </w:r>
      <w:r>
        <w:rPr>
          <w:b/>
          <w:bCs/>
        </w:rPr>
        <w:t xml:space="preserve">discussion drafts</w:t>
      </w:r>
      <w:r>
        <w:t xml:space="preserve"> intended to invite critique, not to assert certainty. Each document presents arguments that the author believes are defensible, but which require validation by economists, policymakers, and other experts.</w:t>
      </w:r>
    </w:p>
    <w:p>
      <w:pPr>
        <w:pStyle w:val="Heading2"/>
      </w:pPr>
      <w:r>
        <w:t xml:space="preserve">How to Use These Documents</w:t>
      </w:r>
    </w:p>
    <w:p>
      <w:pPr>
        <w:spacing w:after="200"/>
      </w:pPr>
      <w:r>
        <w:t xml:space="preserve">Each document follows a consistent structure: identifying a problem, explaining root causes, presenting the AIP solution, and posing discussion questions for validators. Readers are encouraged to:</w:t>
      </w:r>
    </w:p>
    <w:p>
      <w:pPr>
        <w:pStyle w:val="ListParagraph"/>
        <w:numPr>
          <w:ilvl w:val="0"/>
          <w:numId w:val="{bullet-list-0}"/>
        </w:numPr>
      </w:pPr>
      <w:r>
        <w:t xml:space="preserve">Challenge the factual claims and data presented</w:t>
      </w:r>
    </w:p>
    <w:p>
      <w:pPr>
        <w:pStyle w:val="ListParagraph"/>
        <w:numPr>
          <w:ilvl w:val="0"/>
          <w:numId w:val="{bullet-list-0}"/>
        </w:numPr>
      </w:pPr>
      <w:r>
        <w:t xml:space="preserve">Identify logical flaws or unexamined assumptions</w:t>
      </w:r>
    </w:p>
    <w:p>
      <w:pPr>
        <w:pStyle w:val="ListParagraph"/>
        <w:numPr>
          <w:ilvl w:val="0"/>
          <w:numId w:val="{bullet-list-0}"/>
        </w:numPr>
      </w:pPr>
      <w:r>
        <w:t xml:space="preserve">Propose alternative interpretations or solutions</w:t>
      </w:r>
    </w:p>
    <w:p>
      <w:pPr>
        <w:pStyle w:val="ListParagraph"/>
        <w:numPr>
          <w:ilvl w:val="0"/>
          <w:numId w:val="{bullet-list-0}"/>
        </w:numPr>
      </w:pPr>
      <w:r>
        <w:t xml:space="preserve">Note where evidence is insufficient or overstated</w:t>
      </w:r>
    </w:p>
    <w:p>
      <w:pPr>
        <w:pStyle w:val="ListParagraph"/>
        <w:numPr>
          <w:ilvl w:val="0"/>
          <w:numId w:val="{bullet-list-0}"/>
        </w:numPr>
        <w:spacing w:after="200"/>
      </w:pPr>
      <w:r>
        <w:t xml:space="preserve">Suggest areas requiring additional research</w:t>
      </w:r>
    </w:p>
    <w:p>
      <w:pPr>
        <w:pStyle w:val="Heading2"/>
      </w:pPr>
      <w:r>
        <w:t xml:space="preserve">Core Framework Summary</w:t>
      </w:r>
    </w:p>
    <w:p>
      <w:pPr>
        <w:spacing w:after="150"/>
      </w:pPr>
      <w:r>
        <w:rPr>
          <w:b/>
          <w:bCs/>
        </w:rPr>
        <w:t xml:space="preserve">Infinite Accountable Prosperity proposes:</w:t>
      </w:r>
    </w:p>
    <w:p>
      <w:pPr>
        <w:pStyle w:val="ListParagraph"/>
        <w:numPr>
          <w:ilvl w:val="0"/>
          <w:numId w:val="{bullet-list-0}"/>
        </w:numPr>
      </w:pPr>
      <w:r>
        <w:rPr>
          <w:b/>
          <w:bCs/>
        </w:rPr>
        <w:t xml:space="preserve">Gross Revenue Tax (GRT): </w:t>
      </w:r>
      <w:r>
        <w:t xml:space="preserve">Replace federal income taxes with point-of-sale consumption tax</w:t>
      </w:r>
    </w:p>
    <w:p>
      <w:pPr>
        <w:pStyle w:val="ListParagraph"/>
        <w:numPr>
          <w:ilvl w:val="0"/>
          <w:numId w:val="{bullet-list-0}"/>
        </w:numPr>
      </w:pPr>
      <w:r>
        <w:rPr>
          <w:b/>
          <w:bCs/>
        </w:rPr>
        <w:t xml:space="preserve">Stability Accounts: </w:t>
      </w:r>
      <w:r>
        <w:t xml:space="preserve">$25K at birth for every citizen, growing to ~$1.89M by age 65</w:t>
      </w:r>
    </w:p>
    <w:p>
      <w:pPr>
        <w:pStyle w:val="ListParagraph"/>
        <w:numPr>
          <w:ilvl w:val="0"/>
          <w:numId w:val="{bullet-list-0}"/>
        </w:numPr>
      </w:pPr>
      <w:r>
        <w:rPr>
          <w:b/>
          <w:bCs/>
        </w:rPr>
        <w:t xml:space="preserve">Universal Healthcare: </w:t>
      </w:r>
      <w:r>
        <w:t xml:space="preserve">Funded through accounts, eliminating insurance industry</w:t>
      </w:r>
    </w:p>
    <w:p>
      <w:pPr>
        <w:pStyle w:val="ListParagraph"/>
        <w:numPr>
          <w:ilvl w:val="0"/>
          <w:numId w:val="{bullet-list-0}"/>
        </w:numPr>
      </w:pPr>
      <w:r>
        <w:rPr>
          <w:b/>
          <w:bCs/>
        </w:rPr>
        <w:t xml:space="preserve">Hemispheric Alliance: </w:t>
      </w:r>
      <w:r>
        <w:t xml:space="preserve">895M-person economic zone with democratic/human rights requirements</w:t>
      </w:r>
    </w:p>
    <w:p>
      <w:pPr>
        <w:pStyle w:val="ListParagraph"/>
        <w:numPr>
          <w:ilvl w:val="0"/>
          <w:numId w:val="{bullet-list-0}"/>
        </w:numPr>
      </w:pPr>
      <w:r>
        <w:rPr>
          <w:b/>
          <w:bCs/>
        </w:rPr>
        <w:t xml:space="preserve">Political Reform: </w:t>
      </w:r>
      <w:r>
        <w:t xml:space="preserve">120-day campaigns, 12-year term limits, algorithmic redistricting</w:t>
      </w:r>
    </w:p>
    <w:p>
      <w:pPr>
        <w:pStyle w:val="ListParagraph"/>
        <w:numPr>
          <w:ilvl w:val="0"/>
          <w:numId w:val="{bullet-list-0}"/>
        </w:numPr>
        <w:spacing w:after="200"/>
      </w:pPr>
      <w:r>
        <w:rPr>
          <w:b/>
          <w:bCs/>
        </w:rPr>
        <w:t xml:space="preserve">Military Reorientation: </w:t>
      </w:r>
      <w:r>
        <w:t xml:space="preserve">Hemispheric focus, 750 → 250 bases, $650B/year savings</w:t>
      </w:r>
    </w:p>
    <w:p>
      <w:pPr>
        <w:pStyle w:val="Heading2"/>
      </w:pPr>
      <w:r>
        <w:t xml:space="preserve">The Accountability Principle</w:t>
      </w:r>
    </w:p>
    <w:p>
      <w:pPr>
        <w:spacing w:after="200"/>
      </w:pPr>
      <w:r>
        <w:t xml:space="preserve">The unifying concept is </w:t>
      </w:r>
      <w:r>
        <w:rPr>
          <w:b/>
          <w:bCs/>
        </w:rPr>
        <w:t xml:space="preserve">accountability economics</w:t>
      </w:r>
      <w:r>
        <w:t xml:space="preserve">: designing systems where cooperation is structurally easier than cheating. Current systems fail because they allow costs to be externalized—corporations profit while communities suffer, politicians serve donors while voters lose, nations extract while trading partners are exploited. AIP proposes four levels of accountability: personal, corporate, government, and alliance.</w:t>
      </w:r>
    </w:p>
    <w:p>
      <w:pPr>
        <w:pStyle w:val="Heading2"/>
      </w:pPr>
      <w:r>
        <w:t xml:space="preserve">Timeline Context</w:t>
      </w:r>
    </w:p>
    <w:p>
      <w:pPr>
        <w:spacing w:after="200"/>
      </w:pPr>
      <w:r>
        <w:t xml:space="preserve">These documents are prepared in anticipation of the Medicare/Social Security crisis window (2031-2035), when trust fund depletion will force structural reform. The goal is to position IAP as a ready alternative when the status quo becomes untenable. The concurrent acceleration of AI-driven job displacement adds urgency—the current system has no answer to technological unemployment.</w:t>
      </w:r>
    </w:p>
    <w:p>
      <w:pPr>
        <w:pStyle w:val="Heading2"/>
      </w:pPr>
      <w:r>
        <w:t xml:space="preserve">Request to Validators</w:t>
      </w:r>
    </w:p>
    <w:p>
      <w:pPr>
        <w:spacing w:after="200"/>
      </w:pPr>
      <w:r>
        <w:t xml:space="preserve">We seek critique, not endorsement. If these ideas are flawed, we want to know. If they're salvageable with modification, we want to know that too. The worst outcome is silence—ideas that are never stress-tested remain untested.</w:t>
      </w:r>
    </w:p>
    <w:p>
      <w:pPr>
        <w:spacing w:after="200"/>
      </w:pPr>
      <w:r>
        <w:rPr>
          <w:i/>
          <w:iCs/>
        </w:rPr>
        <w:t xml:space="preserve">Please be harsh. We can handle it.</w:t>
      </w:r>
    </w:p>
    <w:p>
      <w:r>
        <w:br w:type="page"/>
      </w:r>
    </w:p>
    <w:p>
      <w:pPr>
        <w:pStyle w:val="Heading1"/>
      </w:pPr>
      <w:r>
        <w:t xml:space="preserve">Document Files</w:t>
      </w:r>
    </w:p>
    <w:p>
      <w:pPr>
        <w:spacing w:after="200"/>
      </w:pPr>
      <w:r>
        <w:t xml:space="preserve">The following individual documents are included in this package:</w:t>
      </w:r>
    </w:p>
    <w:p>
      <w:pPr>
        <w:pStyle w:val="Heading3"/>
      </w:pPr>
      <w:r>
        <w:t xml:space="preserve">Core Mechanics</w:t>
      </w:r>
    </w:p>
    <w:p>
      <w:pPr>
        <w:spacing w:after="75"/>
      </w:pPr>
      <w:r>
        <w:t xml:space="preserve">• grt-mechanics-discussion.docx</w:t>
      </w:r>
    </w:p>
    <w:p>
      <w:pPr>
        <w:spacing w:after="75"/>
      </w:pPr>
      <w:r>
        <w:t xml:space="preserve">• stability-accounts-discussion.docx</w:t>
      </w:r>
    </w:p>
    <w:p>
      <w:pPr>
        <w:spacing w:after="75"/>
      </w:pPr>
      <w:r>
        <w:t xml:space="preserve">• transition-mechanics-discussion.docx</w:t>
      </w:r>
    </w:p>
    <w:p>
      <w:pPr>
        <w:spacing w:after="150"/>
      </w:pPr>
      <w:r>
        <w:t xml:space="preserve">• alliance-governance-discussion.docx</w:t>
      </w:r>
    </w:p>
    <w:p>
      <w:pPr>
        <w:pStyle w:val="Heading3"/>
      </w:pPr>
      <w:r>
        <w:t xml:space="preserve">Crisis Analysis</w:t>
      </w:r>
    </w:p>
    <w:p>
      <w:pPr>
        <w:spacing w:after="75"/>
      </w:pPr>
      <w:r>
        <w:t xml:space="preserve">• two-paths-discussion.docx</w:t>
      </w:r>
    </w:p>
    <w:p>
      <w:pPr>
        <w:spacing w:after="75"/>
      </w:pPr>
      <w:r>
        <w:t xml:space="preserve">• winners-losers-discussion.docx</w:t>
      </w:r>
    </w:p>
    <w:p>
      <w:pPr>
        <w:spacing w:after="150"/>
      </w:pPr>
      <w:r>
        <w:t xml:space="preserve">• healthcare-for-profit-discussion.docx</w:t>
      </w:r>
    </w:p>
    <w:p>
      <w:pPr>
        <w:pStyle w:val="Heading3"/>
      </w:pPr>
      <w:r>
        <w:t xml:space="preserve">Systemic Critiques</w:t>
      </w:r>
    </w:p>
    <w:p>
      <w:pPr>
        <w:spacing w:after="75"/>
      </w:pPr>
      <w:r>
        <w:t xml:space="preserve">• accountability-economics-discussion.docx</w:t>
      </w:r>
    </w:p>
    <w:p>
      <w:pPr>
        <w:spacing w:after="75"/>
      </w:pPr>
      <w:r>
        <w:t xml:space="preserve">• legalized-corruption-discussion.docx</w:t>
      </w:r>
    </w:p>
    <w:p>
      <w:pPr>
        <w:spacing w:after="75"/>
      </w:pPr>
      <w:r>
        <w:t xml:space="preserve">• military-spending-spiral-discussion.docx</w:t>
      </w:r>
    </w:p>
    <w:p>
      <w:pPr>
        <w:spacing w:after="75"/>
      </w:pPr>
      <w:r>
        <w:t xml:space="preserve">• outsourced-abuse-discussion.docx</w:t>
      </w:r>
    </w:p>
    <w:p>
      <w:pPr>
        <w:spacing w:after="75"/>
      </w:pPr>
      <w:r>
        <w:t xml:space="preserve">• extraction-economics-discussion.docx</w:t>
      </w:r>
    </w:p>
    <w:p>
      <w:pPr>
        <w:spacing w:after="75"/>
      </w:pPr>
      <w:r>
        <w:t xml:space="preserve">• plutocracy-accountability-discussion.docx</w:t>
      </w:r>
    </w:p>
    <w:p>
      <w:pPr>
        <w:spacing w:after="150"/>
      </w:pPr>
      <w:r>
        <w:t xml:space="preserve">• root-cause-solutions-discussion.docx</w:t>
      </w:r>
    </w:p>
    <w:p>
      <w:pPr>
        <w:pStyle w:val="Heading3"/>
      </w:pPr>
      <w:r>
        <w:t xml:space="preserve">Policy Applications</w:t>
      </w:r>
    </w:p>
    <w:p>
      <w:pPr>
        <w:spacing w:after="75"/>
      </w:pPr>
      <w:r>
        <w:t xml:space="preserve">• climate-environment-discussion.docx</w:t>
      </w:r>
    </w:p>
    <w:p>
      <w:pPr>
        <w:spacing w:after="75"/>
      </w:pPr>
      <w:r>
        <w:t xml:space="preserve">• immigration-root-causes-discussion.docx</w:t>
      </w:r>
    </w:p>
    <w:p>
      <w:pPr>
        <w:spacing w:after="75"/>
      </w:pPr>
      <w:r>
        <w:t xml:space="preserve">• student-debt-discussion.docx</w:t>
      </w:r>
    </w:p>
    <w:p>
      <w:pPr>
        <w:spacing w:after="75"/>
      </w:pPr>
      <w:r>
        <w:t xml:space="preserve">• generational-wealth-discussion.docx</w:t>
      </w:r>
    </w:p>
    <w:p>
      <w:pPr>
        <w:spacing w:after="75"/>
      </w:pPr>
      <w:r>
        <w:t xml:space="preserve">• rural-america-discussion.docx</w:t>
      </w:r>
    </w:p>
    <w:p>
      <w:pPr>
        <w:spacing w:after="75"/>
      </w:pPr>
      <w:r>
        <w:t xml:space="preserve">• family-formation-discussion.docx</w:t>
      </w:r>
    </w:p>
    <w:p>
      <w:pPr>
        <w:spacing w:after="75"/>
      </w:pPr>
      <w:r>
        <w:t xml:space="preserve">• criminal-justice-discussion.docx</w:t>
      </w:r>
    </w:p>
    <w:p>
      <w:pPr>
        <w:spacing w:after="75"/>
      </w:pPr>
      <w:r>
        <w:t xml:space="preserve">• housing-affordability-discussion.docx</w:t>
      </w:r>
    </w:p>
    <w:p>
      <w:pPr>
        <w:spacing w:after="75"/>
      </w:pPr>
      <w:r>
        <w:t xml:space="preserve">• food-security-discussion.docx</w:t>
      </w:r>
    </w:p>
    <w:p>
      <w:pPr>
        <w:spacing w:after="150"/>
      </w:pPr>
      <w:r>
        <w:t xml:space="preserve">• social-investment-roi-discussion.docx</w:t>
      </w:r>
    </w:p>
    <w:p>
      <w:pPr>
        <w:pStyle w:val="Heading3"/>
      </w:pPr>
      <w:r>
        <w:t xml:space="preserve">Strategic Considerations</w:t>
      </w:r>
    </w:p>
    <w:p>
      <w:pPr>
        <w:spacing w:after="75"/>
      </w:pPr>
      <w:r>
        <w:t xml:space="preserve">• media-consolidation-discussion.docx</w:t>
      </w:r>
    </w:p>
    <w:p>
      <w:pPr>
        <w:spacing w:after="200"/>
      </w:pPr>
      <w:r>
        <w:t xml:space="preserve">• international-response-discussion.docx</w:t>
      </w:r>
    </w:p>
    <w:p>
      <w:pPr>
        <w:spacing w:before="400"/>
        <w:jc w:val="center"/>
      </w:pPr>
      <w:r>
        <w:rPr>
          <w:color w:val="999999"/>
        </w:rPr>
        <w:t xml:space="preserve">— END OF TABLE OF CONTENTS —</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updateFields/>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Title">
    <w:name w:val="Title"/>
    <w:basedOn w:val="Normal"/>
    <w:pPr>
      <w:spacing w:after="400"/>
      <w:jc w:val="center"/>
    </w:pPr>
    <w:rPr>
      <w:rFonts w:ascii="Arial" w:cs="Arial" w:eastAsia="Arial" w:hAnsi="Arial"/>
      <w:b/>
      <w:bCs/>
      <w:color w:val="1e3a8a"/>
      <w:sz w:val="72"/>
      <w:szCs w:val="72"/>
    </w:rPr>
  </w:style>
  <w:style w:type="paragraph" w:styleId="Heading1">
    <w:name w:val="Heading 1"/>
    <w:basedOn w:val="Normal"/>
    <w:next w:val="Normal"/>
    <w:qFormat/>
    <w:pPr>
      <w:spacing w:before="400" w:after="200"/>
    </w:pPr>
    <w:rPr>
      <w:rFonts w:ascii="Arial" w:cs="Arial" w:eastAsia="Arial" w:hAnsi="Arial"/>
      <w:b/>
      <w:bCs/>
      <w:color w:val="1e3a8a"/>
      <w:sz w:val="32"/>
      <w:szCs w:val="32"/>
    </w:rPr>
  </w:style>
  <w:style w:type="paragraph" w:styleId="Heading2">
    <w:name w:val="Heading 2"/>
    <w:basedOn w:val="Normal"/>
    <w:next w:val="Normal"/>
    <w:qFormat/>
    <w:pPr>
      <w:spacing w:before="300" w:after="150"/>
    </w:pPr>
    <w:rPr>
      <w:rFonts w:ascii="Arial" w:cs="Arial" w:eastAsia="Arial" w:hAnsi="Arial"/>
      <w:b/>
      <w:bCs/>
      <w:color w:val="3b82f6"/>
      <w:sz w:val="26"/>
      <w:szCs w:val="26"/>
    </w:rPr>
  </w:style>
  <w:style w:type="paragraph" w:styleId="Heading3">
    <w:name w:val="Heading 3"/>
    <w:basedOn w:val="Normal"/>
    <w:next w:val="Normal"/>
    <w:qFormat/>
    <w:pPr>
      <w:spacing w:before="200" w:after="100"/>
    </w:pPr>
    <w:rPr>
      <w:rFonts w:ascii="Arial" w:cs="Arial" w:eastAsia="Arial" w:hAnsi="Arial"/>
      <w:b/>
      <w:bCs/>
      <w:color w:val="1e3a8a"/>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2025-11-26T17:25:26.378Z</dcterms:created>
  <dcterms:modified xsi:type="dcterms:W3CDTF">2025-11-26T17:25:26.379Z</dcterms:modified>
</cp:coreProperties>
</file>

<file path=docProps/custom.xml><?xml version="1.0" encoding="utf-8"?>
<Properties xmlns="http://schemas.openxmlformats.org/officeDocument/2006/custom-properties" xmlns:vt="http://schemas.openxmlformats.org/officeDocument/2006/docPropsVTypes"/>
</file>